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1417"/>
        <w:gridCol w:w="4962"/>
        <w:gridCol w:w="3260"/>
        <w:gridCol w:w="1984"/>
        <w:gridCol w:w="1560"/>
        <w:gridCol w:w="2268"/>
      </w:tblGrid>
      <w:tr w:rsidR="00990CED" w:rsidRPr="00C90BD6" w:rsidTr="00621C94">
        <w:trPr>
          <w:trHeight w:val="677"/>
          <w:tblHeader/>
        </w:trPr>
        <w:tc>
          <w:tcPr>
            <w:tcW w:w="1417" w:type="dxa"/>
            <w:shd w:val="clear" w:color="auto" w:fill="C6D9F1" w:themeFill="text2" w:themeFillTint="33"/>
            <w:vAlign w:val="center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  <w:b/>
              </w:rPr>
            </w:pPr>
            <w:r w:rsidRPr="00C90BD6">
              <w:rPr>
                <w:rFonts w:ascii="Comic Sans MS" w:hAnsi="Comic Sans MS" w:cstheme="minorHAnsi"/>
                <w:b/>
              </w:rPr>
              <w:t>Equality Strand</w:t>
            </w:r>
          </w:p>
        </w:tc>
        <w:tc>
          <w:tcPr>
            <w:tcW w:w="4962" w:type="dxa"/>
            <w:shd w:val="clear" w:color="auto" w:fill="C6D9F1" w:themeFill="text2" w:themeFillTint="33"/>
            <w:vAlign w:val="center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  <w:b/>
              </w:rPr>
            </w:pPr>
            <w:r w:rsidRPr="00C90BD6">
              <w:rPr>
                <w:rFonts w:ascii="Comic Sans MS" w:hAnsi="Comic Sans MS" w:cstheme="minorHAnsi"/>
                <w:b/>
              </w:rPr>
              <w:t>Action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  <w:b/>
              </w:rPr>
            </w:pPr>
            <w:r w:rsidRPr="00C90BD6">
              <w:rPr>
                <w:rFonts w:ascii="Comic Sans MS" w:hAnsi="Comic Sans MS" w:cstheme="minorHAnsi"/>
                <w:b/>
              </w:rPr>
              <w:t>How will the impact of the action be monitored?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  <w:b/>
              </w:rPr>
            </w:pPr>
            <w:r w:rsidRPr="00C90BD6">
              <w:rPr>
                <w:rFonts w:ascii="Comic Sans MS" w:hAnsi="Comic Sans MS" w:cstheme="minorHAnsi"/>
                <w:b/>
              </w:rPr>
              <w:t>Who is responsible for implementing?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  <w:b/>
              </w:rPr>
            </w:pPr>
            <w:r w:rsidRPr="00C90BD6">
              <w:rPr>
                <w:rFonts w:ascii="Comic Sans MS" w:hAnsi="Comic Sans MS" w:cstheme="minorHAnsi"/>
                <w:b/>
              </w:rPr>
              <w:t>What are the time frames?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  <w:b/>
              </w:rPr>
            </w:pPr>
            <w:r w:rsidRPr="00C90BD6">
              <w:rPr>
                <w:rFonts w:ascii="Comic Sans MS" w:hAnsi="Comic Sans MS" w:cstheme="minorHAnsi"/>
                <w:b/>
              </w:rPr>
              <w:t>Success Indicators</w:t>
            </w:r>
          </w:p>
        </w:tc>
      </w:tr>
      <w:tr w:rsidR="00990CED" w:rsidRPr="00C90BD6" w:rsidTr="00621C94">
        <w:tc>
          <w:tcPr>
            <w:tcW w:w="1417" w:type="dxa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</w:rPr>
              <w:t xml:space="preserve">All </w:t>
            </w:r>
          </w:p>
        </w:tc>
        <w:tc>
          <w:tcPr>
            <w:tcW w:w="4962" w:type="dxa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  <w:color w:val="000000"/>
              </w:rPr>
            </w:pPr>
            <w:r w:rsidRPr="00C90BD6">
              <w:rPr>
                <w:rFonts w:ascii="Comic Sans MS" w:hAnsi="Comic Sans MS" w:cstheme="minorHAnsi"/>
                <w:color w:val="000000"/>
              </w:rPr>
              <w:t>Ensure all staff, governors and parents are aware of the school’s Equality Policy &amp; Plan.</w:t>
            </w: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  <w:color w:val="000000"/>
              </w:rPr>
              <w:t xml:space="preserve"> </w:t>
            </w: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</w:rPr>
              <w:t>Publish and promote the Equality Plan through the school website, newsletter and staff meetings.</w:t>
            </w: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</w:rPr>
              <w:t>Annual Survey to parents and pupils will include questions relating to equality.</w:t>
            </w: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</w:rPr>
              <w:t>Equality Survey to gain the views of pupils, parents, staff and governors w</w:t>
            </w:r>
            <w:r>
              <w:rPr>
                <w:rFonts w:ascii="Comic Sans MS" w:hAnsi="Comic Sans MS" w:cstheme="minorHAnsi"/>
              </w:rPr>
              <w:t>ill be undertaken in January 2018</w:t>
            </w:r>
            <w:r w:rsidRPr="00C90BD6">
              <w:rPr>
                <w:rFonts w:ascii="Comic Sans MS" w:hAnsi="Comic Sans MS" w:cstheme="minorHAnsi"/>
              </w:rPr>
              <w:t xml:space="preserve"> to inform review of Policy.</w:t>
            </w: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</w:tc>
        <w:tc>
          <w:tcPr>
            <w:tcW w:w="3260" w:type="dxa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</w:rPr>
              <w:t>Question about parent awareness of Equality Scheme in annual survey?</w:t>
            </w:r>
          </w:p>
        </w:tc>
        <w:tc>
          <w:tcPr>
            <w:tcW w:w="1984" w:type="dxa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proofErr w:type="spellStart"/>
            <w:r w:rsidRPr="00C90BD6">
              <w:rPr>
                <w:rFonts w:ascii="Comic Sans MS" w:hAnsi="Comic Sans MS" w:cstheme="minorHAnsi"/>
              </w:rPr>
              <w:t>Headteacher</w:t>
            </w:r>
            <w:proofErr w:type="spellEnd"/>
            <w:r w:rsidRPr="00C90BD6">
              <w:rPr>
                <w:rFonts w:ascii="Comic Sans MS" w:hAnsi="Comic Sans MS" w:cstheme="minorHAnsi"/>
              </w:rPr>
              <w:t xml:space="preserve"> </w:t>
            </w:r>
          </w:p>
        </w:tc>
        <w:tc>
          <w:tcPr>
            <w:tcW w:w="1560" w:type="dxa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</w:rPr>
              <w:t>Ongoing</w:t>
            </w: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</w:rPr>
              <w:t>Annual Parent Questionnaire</w:t>
            </w: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</w:tc>
        <w:tc>
          <w:tcPr>
            <w:tcW w:w="2268" w:type="dxa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</w:rPr>
              <w:t>Staff are familiar with the principles of the Equality Plan and use them when planning lessons, creating class room displays</w:t>
            </w: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</w:rPr>
              <w:t>Parents and governors are aware of the Equality Plan</w:t>
            </w: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</w:tc>
      </w:tr>
      <w:tr w:rsidR="00990CED" w:rsidRPr="00C90BD6" w:rsidTr="00621C94">
        <w:tc>
          <w:tcPr>
            <w:tcW w:w="1417" w:type="dxa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</w:rPr>
              <w:t>All</w:t>
            </w:r>
          </w:p>
        </w:tc>
        <w:tc>
          <w:tcPr>
            <w:tcW w:w="4962" w:type="dxa"/>
          </w:tcPr>
          <w:p w:rsidR="00990CED" w:rsidRPr="00C90BD6" w:rsidRDefault="00990CED" w:rsidP="00621C94">
            <w:pPr>
              <w:pStyle w:val="NoSpacing"/>
              <w:rPr>
                <w:rStyle w:val="sedmaintext"/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Style w:val="sedmaintext"/>
                <w:rFonts w:ascii="Comic Sans MS" w:hAnsi="Comic Sans MS" w:cstheme="minorHAnsi"/>
              </w:rPr>
            </w:pPr>
            <w:r w:rsidRPr="00C90BD6">
              <w:rPr>
                <w:rStyle w:val="sedmaintext"/>
                <w:rFonts w:ascii="Comic Sans MS" w:hAnsi="Comic Sans MS" w:cstheme="minorHAnsi"/>
              </w:rPr>
              <w:t xml:space="preserve">Monitor and </w:t>
            </w:r>
            <w:proofErr w:type="spellStart"/>
            <w:r w:rsidRPr="00C90BD6">
              <w:rPr>
                <w:rStyle w:val="sedmaintext"/>
                <w:rFonts w:ascii="Comic Sans MS" w:hAnsi="Comic Sans MS" w:cstheme="minorHAnsi"/>
              </w:rPr>
              <w:t>analyse</w:t>
            </w:r>
            <w:proofErr w:type="spellEnd"/>
            <w:r w:rsidRPr="00C90BD6">
              <w:rPr>
                <w:rStyle w:val="sedmaintext"/>
                <w:rFonts w:ascii="Comic Sans MS" w:hAnsi="Comic Sans MS" w:cstheme="minorHAnsi"/>
              </w:rPr>
              <w:t xml:space="preserve"> pupil achievement and attendance data by disadvantage, race, gender and disability, and act on any trends or patterns in the data that require additional support for pupils.</w:t>
            </w:r>
          </w:p>
          <w:p w:rsidR="00990CED" w:rsidRPr="00C90BD6" w:rsidRDefault="00990CED" w:rsidP="00621C94">
            <w:pPr>
              <w:pStyle w:val="NoSpacing"/>
              <w:rPr>
                <w:rStyle w:val="sedmaintext"/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Style w:val="sedmaintext"/>
                <w:rFonts w:ascii="Comic Sans MS" w:hAnsi="Comic Sans MS" w:cstheme="minorHAnsi"/>
              </w:rPr>
            </w:pPr>
            <w:r w:rsidRPr="00C90BD6">
              <w:rPr>
                <w:rStyle w:val="sedmaintext"/>
                <w:rFonts w:ascii="Comic Sans MS" w:hAnsi="Comic Sans MS" w:cstheme="minorHAnsi"/>
              </w:rPr>
              <w:t>Analyses to be shared and discussed with governors.</w:t>
            </w: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</w:tc>
        <w:tc>
          <w:tcPr>
            <w:tcW w:w="3260" w:type="dxa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</w:rPr>
              <w:t xml:space="preserve">Achievement and attendance data </w:t>
            </w:r>
            <w:proofErr w:type="spellStart"/>
            <w:r w:rsidRPr="00C90BD6">
              <w:rPr>
                <w:rFonts w:ascii="Comic Sans MS" w:hAnsi="Comic Sans MS" w:cstheme="minorHAnsi"/>
              </w:rPr>
              <w:t>analysed</w:t>
            </w:r>
            <w:proofErr w:type="spellEnd"/>
            <w:r w:rsidRPr="00C90BD6">
              <w:rPr>
                <w:rFonts w:ascii="Comic Sans MS" w:hAnsi="Comic Sans MS" w:cstheme="minorHAnsi"/>
              </w:rPr>
              <w:t xml:space="preserve"> by disadvantage, race, gender and disability </w:t>
            </w:r>
          </w:p>
        </w:tc>
        <w:tc>
          <w:tcPr>
            <w:tcW w:w="1984" w:type="dxa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proofErr w:type="spellStart"/>
            <w:r w:rsidRPr="00C90BD6">
              <w:rPr>
                <w:rFonts w:ascii="Comic Sans MS" w:hAnsi="Comic Sans MS" w:cstheme="minorHAnsi"/>
              </w:rPr>
              <w:t>Headteacher</w:t>
            </w:r>
            <w:proofErr w:type="spellEnd"/>
            <w:r w:rsidRPr="00C90BD6">
              <w:rPr>
                <w:rFonts w:ascii="Comic Sans MS" w:hAnsi="Comic Sans MS" w:cstheme="minorHAnsi"/>
              </w:rPr>
              <w:t xml:space="preserve"> / Governing body</w:t>
            </w:r>
          </w:p>
        </w:tc>
        <w:tc>
          <w:tcPr>
            <w:tcW w:w="1560" w:type="dxa"/>
            <w:vAlign w:val="center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</w:rPr>
              <w:t>Ongoing</w:t>
            </w:r>
          </w:p>
        </w:tc>
        <w:tc>
          <w:tcPr>
            <w:tcW w:w="2268" w:type="dxa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</w:rPr>
              <w:t xml:space="preserve">Analysis of teacher assessments / annual data demonstrates the gap is narrowing for equality groups </w:t>
            </w: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</w:tc>
      </w:tr>
      <w:tr w:rsidR="00990CED" w:rsidRPr="00C90BD6" w:rsidTr="00621C94">
        <w:tc>
          <w:tcPr>
            <w:tcW w:w="1417" w:type="dxa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</w:rPr>
              <w:t xml:space="preserve"> </w:t>
            </w: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</w:rPr>
              <w:t>All</w:t>
            </w:r>
          </w:p>
        </w:tc>
        <w:tc>
          <w:tcPr>
            <w:tcW w:w="4962" w:type="dxa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</w:rPr>
              <w:t>Ensure that the curriculum promotes role models and heroes that young people positively identify with, and which reflect the school’s diversity in terms of race, gender and disability.</w:t>
            </w: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</w:tc>
        <w:tc>
          <w:tcPr>
            <w:tcW w:w="3260" w:type="dxa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</w:rPr>
              <w:t>Increase in pupil participation, confidence and positive identity – monitor through PSHE &amp; Circle Time</w:t>
            </w: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</w:rPr>
              <w:t>Governor Ethos</w:t>
            </w:r>
            <w:r>
              <w:rPr>
                <w:rFonts w:ascii="Comic Sans MS" w:hAnsi="Comic Sans MS" w:cstheme="minorHAnsi"/>
              </w:rPr>
              <w:t>/participation</w:t>
            </w:r>
            <w:r w:rsidRPr="00C90BD6">
              <w:rPr>
                <w:rFonts w:ascii="Comic Sans MS" w:hAnsi="Comic Sans MS" w:cstheme="minorHAnsi"/>
              </w:rPr>
              <w:t xml:space="preserve"> Monitoring</w:t>
            </w: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</w:tc>
        <w:tc>
          <w:tcPr>
            <w:tcW w:w="1984" w:type="dxa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proofErr w:type="spellStart"/>
            <w:r>
              <w:rPr>
                <w:rFonts w:ascii="Comic Sans MS" w:hAnsi="Comic Sans MS" w:cstheme="minorHAnsi"/>
              </w:rPr>
              <w:t>Headteacher</w:t>
            </w:r>
            <w:proofErr w:type="spellEnd"/>
            <w:r>
              <w:rPr>
                <w:rFonts w:ascii="Comic Sans MS" w:hAnsi="Comic Sans MS" w:cstheme="minorHAnsi"/>
              </w:rPr>
              <w:t xml:space="preserve"> </w:t>
            </w:r>
            <w:r w:rsidRPr="00C90BD6">
              <w:rPr>
                <w:rFonts w:ascii="Comic Sans MS" w:hAnsi="Comic Sans MS" w:cstheme="minorHAnsi"/>
              </w:rPr>
              <w:t>through long-term theme planning</w:t>
            </w:r>
          </w:p>
        </w:tc>
        <w:tc>
          <w:tcPr>
            <w:tcW w:w="1560" w:type="dxa"/>
            <w:vAlign w:val="center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</w:rPr>
              <w:t>Ongoing</w:t>
            </w:r>
          </w:p>
        </w:tc>
        <w:tc>
          <w:tcPr>
            <w:tcW w:w="2268" w:type="dxa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</w:rPr>
              <w:t>Diversity is reflected in school displays across all year groups</w:t>
            </w: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</w:tc>
      </w:tr>
    </w:tbl>
    <w:p w:rsidR="000126E2" w:rsidRDefault="000126E2">
      <w:r>
        <w:br w:type="page"/>
      </w:r>
    </w:p>
    <w:tbl>
      <w:tblPr>
        <w:tblStyle w:val="TableGrid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1417"/>
        <w:gridCol w:w="4962"/>
        <w:gridCol w:w="3260"/>
        <w:gridCol w:w="1984"/>
        <w:gridCol w:w="1560"/>
        <w:gridCol w:w="2268"/>
      </w:tblGrid>
      <w:tr w:rsidR="00990CED" w:rsidRPr="00C90BD6" w:rsidTr="00621C94">
        <w:tc>
          <w:tcPr>
            <w:tcW w:w="1417" w:type="dxa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</w:rPr>
              <w:lastRenderedPageBreak/>
              <w:t>All</w:t>
            </w:r>
          </w:p>
        </w:tc>
        <w:tc>
          <w:tcPr>
            <w:tcW w:w="4962" w:type="dxa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</w:rPr>
              <w:t>Ensure all pupils are given the opportunity to make a positive contribution to the life of the school, for example through involvement in the Children’s Council by election</w:t>
            </w:r>
            <w:r>
              <w:rPr>
                <w:rFonts w:ascii="Comic Sans MS" w:hAnsi="Comic Sans MS" w:cstheme="minorHAnsi"/>
              </w:rPr>
              <w:t xml:space="preserve">, </w:t>
            </w:r>
            <w:r w:rsidRPr="00C90BD6">
              <w:rPr>
                <w:rFonts w:ascii="Comic Sans MS" w:hAnsi="Comic Sans MS" w:cstheme="minorHAnsi"/>
              </w:rPr>
              <w:t>class assemblies, fund raising etc.</w:t>
            </w: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</w:rPr>
              <w:t>Increase the positions of responsibility open to pupils.</w:t>
            </w: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</w:tc>
        <w:tc>
          <w:tcPr>
            <w:tcW w:w="3260" w:type="dxa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</w:rPr>
              <w:t>Children’s Council representation monitored by race, gender, disability</w:t>
            </w:r>
          </w:p>
        </w:tc>
        <w:tc>
          <w:tcPr>
            <w:tcW w:w="1984" w:type="dxa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0126E2" w:rsidP="00621C94">
            <w:pPr>
              <w:pStyle w:val="NoSpacing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Head teacher</w:t>
            </w:r>
          </w:p>
        </w:tc>
        <w:tc>
          <w:tcPr>
            <w:tcW w:w="1560" w:type="dxa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</w:rPr>
              <w:t>Ongoing</w:t>
            </w:r>
          </w:p>
        </w:tc>
        <w:tc>
          <w:tcPr>
            <w:tcW w:w="2268" w:type="dxa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</w:rPr>
              <w:t>More opportunities are available for children to support the work and life of the school.</w:t>
            </w:r>
          </w:p>
        </w:tc>
      </w:tr>
      <w:tr w:rsidR="00990CED" w:rsidRPr="00C90BD6" w:rsidTr="00621C94">
        <w:tc>
          <w:tcPr>
            <w:tcW w:w="1417" w:type="dxa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</w:rPr>
              <w:t>All</w:t>
            </w: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</w:tc>
        <w:tc>
          <w:tcPr>
            <w:tcW w:w="4962" w:type="dxa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</w:rPr>
              <w:t xml:space="preserve">Ensure staff, pupils, parents and </w:t>
            </w:r>
            <w:proofErr w:type="spellStart"/>
            <w:r w:rsidRPr="00C90BD6">
              <w:rPr>
                <w:rFonts w:ascii="Comic Sans MS" w:hAnsi="Comic Sans MS" w:cstheme="minorHAnsi"/>
              </w:rPr>
              <w:t>carers</w:t>
            </w:r>
            <w:proofErr w:type="spellEnd"/>
            <w:r w:rsidRPr="00C90BD6">
              <w:rPr>
                <w:rFonts w:ascii="Comic Sans MS" w:hAnsi="Comic Sans MS" w:cstheme="minorHAnsi"/>
              </w:rPr>
              <w:t xml:space="preserve"> continue to be involved in the future development of the Equality Plan through input and feedback from surveys, staff meetings, Children’s Council meeting, Parents’ Evenings etc.</w:t>
            </w: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</w:tc>
        <w:tc>
          <w:tcPr>
            <w:tcW w:w="3260" w:type="dxa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</w:rPr>
              <w:t>Analysis of surveys and other feedback.</w:t>
            </w:r>
          </w:p>
        </w:tc>
        <w:tc>
          <w:tcPr>
            <w:tcW w:w="1984" w:type="dxa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proofErr w:type="spellStart"/>
            <w:r w:rsidRPr="00C90BD6">
              <w:rPr>
                <w:rFonts w:ascii="Comic Sans MS" w:hAnsi="Comic Sans MS" w:cstheme="minorHAnsi"/>
              </w:rPr>
              <w:t>Headteacher</w:t>
            </w:r>
            <w:proofErr w:type="spellEnd"/>
            <w:r w:rsidRPr="00C90BD6">
              <w:rPr>
                <w:rFonts w:ascii="Comic Sans MS" w:hAnsi="Comic Sans MS" w:cstheme="minorHAnsi"/>
              </w:rPr>
              <w:t>/</w:t>
            </w: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</w:rPr>
              <w:t>Governing Body</w:t>
            </w:r>
          </w:p>
        </w:tc>
        <w:tc>
          <w:tcPr>
            <w:tcW w:w="1560" w:type="dxa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</w:rPr>
              <w:t>Ongoing</w:t>
            </w:r>
          </w:p>
        </w:tc>
        <w:tc>
          <w:tcPr>
            <w:tcW w:w="2268" w:type="dxa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</w:rPr>
              <w:t>Equality Policy reflects the views of all key stakeholder groups</w:t>
            </w:r>
          </w:p>
        </w:tc>
      </w:tr>
      <w:tr w:rsidR="00990CED" w:rsidRPr="00C90BD6" w:rsidTr="00621C94">
        <w:tc>
          <w:tcPr>
            <w:tcW w:w="1417" w:type="dxa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</w:rPr>
              <w:t>All</w:t>
            </w:r>
          </w:p>
        </w:tc>
        <w:tc>
          <w:tcPr>
            <w:tcW w:w="4962" w:type="dxa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</w:rPr>
              <w:t>Embed a culture and attitude where use of discriminatory language is challenged.</w:t>
            </w:r>
          </w:p>
        </w:tc>
        <w:tc>
          <w:tcPr>
            <w:tcW w:w="3260" w:type="dxa"/>
            <w:vAlign w:val="center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proofErr w:type="spellStart"/>
            <w:r w:rsidRPr="00C90BD6">
              <w:rPr>
                <w:rFonts w:ascii="Comic Sans MS" w:hAnsi="Comic Sans MS" w:cstheme="minorHAnsi"/>
              </w:rPr>
              <w:t>Headteacher</w:t>
            </w:r>
            <w:proofErr w:type="spellEnd"/>
            <w:r w:rsidRPr="00C90BD6">
              <w:rPr>
                <w:rFonts w:ascii="Comic Sans MS" w:hAnsi="Comic Sans MS" w:cstheme="minorHAnsi"/>
              </w:rPr>
              <w:t xml:space="preserve"> and all staff to review as part of regular weekly staff meeting agenda and follow up with direct action.</w:t>
            </w: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</w:tc>
        <w:tc>
          <w:tcPr>
            <w:tcW w:w="1984" w:type="dxa"/>
            <w:vAlign w:val="center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</w:rPr>
              <w:t>Class teachers/</w:t>
            </w:r>
            <w:r w:rsidRPr="00C90BD6">
              <w:rPr>
                <w:rFonts w:ascii="Comic Sans MS" w:hAnsi="Comic Sans MS" w:cstheme="minorHAnsi"/>
              </w:rPr>
              <w:br/>
            </w:r>
            <w:proofErr w:type="spellStart"/>
            <w:r w:rsidRPr="00C90BD6">
              <w:rPr>
                <w:rFonts w:ascii="Comic Sans MS" w:hAnsi="Comic Sans MS" w:cstheme="minorHAnsi"/>
              </w:rPr>
              <w:t>Headteacher</w:t>
            </w:r>
            <w:proofErr w:type="spellEnd"/>
          </w:p>
        </w:tc>
        <w:tc>
          <w:tcPr>
            <w:tcW w:w="1560" w:type="dxa"/>
            <w:vAlign w:val="center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</w:rPr>
              <w:t>Ongoing</w:t>
            </w:r>
          </w:p>
        </w:tc>
        <w:tc>
          <w:tcPr>
            <w:tcW w:w="2268" w:type="dxa"/>
            <w:vAlign w:val="center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</w:rPr>
              <w:t xml:space="preserve">Staff challenge any use of discriminatory language. </w:t>
            </w: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</w:tc>
      </w:tr>
      <w:tr w:rsidR="00990CED" w:rsidRPr="00C90BD6" w:rsidTr="00621C94">
        <w:tc>
          <w:tcPr>
            <w:tcW w:w="1417" w:type="dxa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</w:rPr>
              <w:t>Race Equality Duty</w:t>
            </w:r>
          </w:p>
        </w:tc>
        <w:tc>
          <w:tcPr>
            <w:tcW w:w="4962" w:type="dxa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</w:rPr>
              <w:t>Identify, respond and report racist incidents as outlined in the Plan. Report the figures to the Governing Body / Local Authority on a termly basis.</w:t>
            </w:r>
          </w:p>
        </w:tc>
        <w:tc>
          <w:tcPr>
            <w:tcW w:w="3260" w:type="dxa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</w:rPr>
              <w:t xml:space="preserve">The </w:t>
            </w:r>
            <w:proofErr w:type="spellStart"/>
            <w:r w:rsidRPr="00C90BD6">
              <w:rPr>
                <w:rFonts w:ascii="Comic Sans MS" w:hAnsi="Comic Sans MS" w:cstheme="minorHAnsi"/>
              </w:rPr>
              <w:t>Headteacher</w:t>
            </w:r>
            <w:proofErr w:type="spellEnd"/>
            <w:r w:rsidRPr="00C90BD6">
              <w:rPr>
                <w:rFonts w:ascii="Comic Sans MS" w:hAnsi="Comic Sans MS" w:cstheme="minorHAnsi"/>
              </w:rPr>
              <w:t xml:space="preserve"> / Governing Body will use the data to assess the impact of the school’s response to incidents i.e. have whole school / year group approaches led to a decrease in incidents, can repeat perpetrators be identified, are pupils and parents satisfied with the response?</w:t>
            </w:r>
          </w:p>
        </w:tc>
        <w:tc>
          <w:tcPr>
            <w:tcW w:w="1984" w:type="dxa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proofErr w:type="spellStart"/>
            <w:r w:rsidRPr="00C90BD6">
              <w:rPr>
                <w:rFonts w:ascii="Comic Sans MS" w:hAnsi="Comic Sans MS" w:cstheme="minorHAnsi"/>
              </w:rPr>
              <w:t>Headteacher</w:t>
            </w:r>
            <w:proofErr w:type="spellEnd"/>
            <w:r w:rsidRPr="00C90BD6">
              <w:rPr>
                <w:rFonts w:ascii="Comic Sans MS" w:hAnsi="Comic Sans MS" w:cstheme="minorHAnsi"/>
              </w:rPr>
              <w:t xml:space="preserve"> / Business Manager/ Governing body</w:t>
            </w:r>
          </w:p>
        </w:tc>
        <w:tc>
          <w:tcPr>
            <w:tcW w:w="1560" w:type="dxa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</w:rPr>
              <w:t>Reporting: December, April, July</w:t>
            </w:r>
          </w:p>
        </w:tc>
        <w:tc>
          <w:tcPr>
            <w:tcW w:w="2268" w:type="dxa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proofErr w:type="gramStart"/>
            <w:r w:rsidRPr="00C90BD6">
              <w:rPr>
                <w:rFonts w:ascii="Comic Sans MS" w:hAnsi="Comic Sans MS" w:cstheme="minorHAnsi"/>
              </w:rPr>
              <w:t>Staff respond</w:t>
            </w:r>
            <w:proofErr w:type="gramEnd"/>
            <w:r w:rsidRPr="00C90BD6">
              <w:rPr>
                <w:rFonts w:ascii="Comic Sans MS" w:hAnsi="Comic Sans MS" w:cstheme="minorHAnsi"/>
              </w:rPr>
              <w:t xml:space="preserve"> to any racist incident.</w:t>
            </w: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</w:rPr>
              <w:t xml:space="preserve">Consistent nil reporting is challenged by the Governing Body </w:t>
            </w: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</w:tc>
      </w:tr>
      <w:tr w:rsidR="00990CED" w:rsidRPr="00C90BD6" w:rsidTr="00621C94">
        <w:tc>
          <w:tcPr>
            <w:tcW w:w="1417" w:type="dxa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</w:rPr>
              <w:t>Disability Equality Duty</w:t>
            </w: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</w:tc>
        <w:tc>
          <w:tcPr>
            <w:tcW w:w="4962" w:type="dxa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  <w:color w:val="000000"/>
              </w:rPr>
            </w:pPr>
            <w:r w:rsidRPr="00C90BD6">
              <w:rPr>
                <w:rFonts w:ascii="Comic Sans MS" w:hAnsi="Comic Sans MS" w:cstheme="minorHAnsi"/>
                <w:color w:val="000000"/>
              </w:rPr>
              <w:t xml:space="preserve">Ensure disabled children can take part in all aspects of the curriculum, including educational visits and journeys; lunchtime activities; PE and </w:t>
            </w:r>
            <w:r w:rsidRPr="00C90BD6">
              <w:rPr>
                <w:rFonts w:ascii="Comic Sans MS" w:hAnsi="Comic Sans MS" w:cstheme="minorHAnsi"/>
                <w:color w:val="000000"/>
              </w:rPr>
              <w:lastRenderedPageBreak/>
              <w:t>dance and assemblies; after- school clubs</w:t>
            </w: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</w:tc>
        <w:tc>
          <w:tcPr>
            <w:tcW w:w="3260" w:type="dxa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</w:rPr>
              <w:t xml:space="preserve">Increase in pupil participation, confidence and positive identity – monitor through PSHE &amp; Circle </w:t>
            </w:r>
            <w:r w:rsidRPr="00C90BD6">
              <w:rPr>
                <w:rFonts w:ascii="Comic Sans MS" w:hAnsi="Comic Sans MS" w:cstheme="minorHAnsi"/>
              </w:rPr>
              <w:lastRenderedPageBreak/>
              <w:t>Time, provision mapping, and club monitoring.</w:t>
            </w: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</w:tc>
        <w:tc>
          <w:tcPr>
            <w:tcW w:w="1984" w:type="dxa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proofErr w:type="spellStart"/>
            <w:r w:rsidRPr="00C90BD6">
              <w:rPr>
                <w:rFonts w:ascii="Comic Sans MS" w:hAnsi="Comic Sans MS" w:cstheme="minorHAnsi"/>
              </w:rPr>
              <w:t>Headteacher</w:t>
            </w:r>
            <w:proofErr w:type="spellEnd"/>
            <w:r w:rsidRPr="00C90BD6">
              <w:rPr>
                <w:rFonts w:ascii="Comic Sans MS" w:hAnsi="Comic Sans MS" w:cstheme="minorHAnsi"/>
              </w:rPr>
              <w:t>/SENC</w:t>
            </w:r>
          </w:p>
        </w:tc>
        <w:tc>
          <w:tcPr>
            <w:tcW w:w="1560" w:type="dxa"/>
            <w:vAlign w:val="center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</w:rPr>
              <w:t>ongoing</w:t>
            </w:r>
          </w:p>
        </w:tc>
        <w:tc>
          <w:tcPr>
            <w:tcW w:w="2268" w:type="dxa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</w:rPr>
              <w:t xml:space="preserve">Improved outcomes for disabled children, and those with SEN </w:t>
            </w:r>
            <w:r w:rsidRPr="00C90BD6">
              <w:rPr>
                <w:rFonts w:ascii="Comic Sans MS" w:hAnsi="Comic Sans MS" w:cstheme="minorHAnsi"/>
              </w:rPr>
              <w:lastRenderedPageBreak/>
              <w:t>or identified as vulnerable</w:t>
            </w: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</w:tc>
      </w:tr>
      <w:tr w:rsidR="00990CED" w:rsidRPr="00C90BD6" w:rsidTr="00621C94">
        <w:tc>
          <w:tcPr>
            <w:tcW w:w="1417" w:type="dxa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</w:rPr>
              <w:t>Gender Equality Duty</w:t>
            </w: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</w:tc>
        <w:tc>
          <w:tcPr>
            <w:tcW w:w="4962" w:type="dxa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</w:rPr>
              <w:t xml:space="preserve">Monitor take up by girls and boys of after-school clubs and activities. </w:t>
            </w:r>
          </w:p>
        </w:tc>
        <w:tc>
          <w:tcPr>
            <w:tcW w:w="3260" w:type="dxa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</w:rPr>
              <w:t>Any gender imbalance in participation in after-school activities is identified and addressed.</w:t>
            </w: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</w:tc>
        <w:tc>
          <w:tcPr>
            <w:tcW w:w="1984" w:type="dxa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</w:rPr>
              <w:t>Administrator/PE &amp; Sports Co-</w:t>
            </w:r>
            <w:proofErr w:type="spellStart"/>
            <w:r w:rsidRPr="00C90BD6">
              <w:rPr>
                <w:rFonts w:ascii="Comic Sans MS" w:hAnsi="Comic Sans MS" w:cstheme="minorHAnsi"/>
              </w:rPr>
              <w:t>ordinator</w:t>
            </w:r>
            <w:proofErr w:type="spellEnd"/>
          </w:p>
        </w:tc>
        <w:tc>
          <w:tcPr>
            <w:tcW w:w="1560" w:type="dxa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0126E2" w:rsidP="00621C94">
            <w:pPr>
              <w:pStyle w:val="NoSpacing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From Autumn 2018</w:t>
            </w:r>
          </w:p>
        </w:tc>
        <w:tc>
          <w:tcPr>
            <w:tcW w:w="2268" w:type="dxa"/>
          </w:tcPr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</w:p>
          <w:p w:rsidR="00990CED" w:rsidRPr="00C90BD6" w:rsidRDefault="00990CED" w:rsidP="00621C94">
            <w:pPr>
              <w:pStyle w:val="NoSpacing"/>
              <w:rPr>
                <w:rFonts w:ascii="Comic Sans MS" w:hAnsi="Comic Sans MS" w:cstheme="minorHAnsi"/>
              </w:rPr>
            </w:pPr>
            <w:r w:rsidRPr="00C90BD6">
              <w:rPr>
                <w:rFonts w:ascii="Comic Sans MS" w:hAnsi="Comic Sans MS" w:cstheme="minorHAnsi"/>
              </w:rPr>
              <w:t xml:space="preserve">Both boys and girls  take up after-school clubs and activities </w:t>
            </w:r>
          </w:p>
        </w:tc>
      </w:tr>
    </w:tbl>
    <w:p w:rsidR="00990CED" w:rsidRDefault="00990CED" w:rsidP="00990CED">
      <w:pPr>
        <w:pStyle w:val="NoSpacing"/>
        <w:rPr>
          <w:rFonts w:ascii="Comic Sans MS" w:hAnsi="Comic Sans MS" w:cs="Arial"/>
        </w:rPr>
      </w:pPr>
    </w:p>
    <w:p w:rsidR="006D5A84" w:rsidRDefault="006D5A84"/>
    <w:sectPr w:rsidR="006D5A84" w:rsidSect="00990CED">
      <w:headerReference w:type="default" r:id="rId7"/>
      <w:pgSz w:w="16833" w:h="11908" w:orient="landscape" w:code="9"/>
      <w:pgMar w:top="567" w:right="567" w:bottom="567" w:left="567" w:header="680" w:footer="71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97" w:rsidRDefault="00CA3397">
      <w:r>
        <w:separator/>
      </w:r>
    </w:p>
  </w:endnote>
  <w:endnote w:type="continuationSeparator" w:id="0">
    <w:p w:rsidR="00CA3397" w:rsidRDefault="00CA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97" w:rsidRDefault="00CA3397">
      <w:r>
        <w:separator/>
      </w:r>
    </w:p>
  </w:footnote>
  <w:footnote w:type="continuationSeparator" w:id="0">
    <w:p w:rsidR="00CA3397" w:rsidRDefault="00CA3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B1D" w:rsidRPr="0080265E" w:rsidRDefault="00CA3397" w:rsidP="0080265E">
    <w:pPr>
      <w:pStyle w:val="Header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ED"/>
    <w:rsid w:val="000126E2"/>
    <w:rsid w:val="006D5A84"/>
    <w:rsid w:val="00990CED"/>
    <w:rsid w:val="00CA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dmaintext">
    <w:name w:val="sedmaintext"/>
    <w:basedOn w:val="DefaultParagraphFont"/>
    <w:rsid w:val="00990CED"/>
  </w:style>
  <w:style w:type="table" w:styleId="TableGrid">
    <w:name w:val="Table Grid"/>
    <w:basedOn w:val="TableNormal"/>
    <w:rsid w:val="00990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90C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90CE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rsid w:val="00990CED"/>
    <w:rPr>
      <w:sz w:val="16"/>
      <w:szCs w:val="16"/>
    </w:rPr>
  </w:style>
  <w:style w:type="paragraph" w:styleId="NoSpacing">
    <w:name w:val="No Spacing"/>
    <w:uiPriority w:val="1"/>
    <w:qFormat/>
    <w:rsid w:val="00990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rsid w:val="00990CED"/>
  </w:style>
  <w:style w:type="character" w:customStyle="1" w:styleId="CommentTextChar">
    <w:name w:val="Comment Text Char"/>
    <w:basedOn w:val="DefaultParagraphFont"/>
    <w:link w:val="CommentText"/>
    <w:rsid w:val="00990CE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CE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dmaintext">
    <w:name w:val="sedmaintext"/>
    <w:basedOn w:val="DefaultParagraphFont"/>
    <w:rsid w:val="00990CED"/>
  </w:style>
  <w:style w:type="table" w:styleId="TableGrid">
    <w:name w:val="Table Grid"/>
    <w:basedOn w:val="TableNormal"/>
    <w:rsid w:val="00990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90C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90CE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rsid w:val="00990CED"/>
    <w:rPr>
      <w:sz w:val="16"/>
      <w:szCs w:val="16"/>
    </w:rPr>
  </w:style>
  <w:style w:type="paragraph" w:styleId="NoSpacing">
    <w:name w:val="No Spacing"/>
    <w:uiPriority w:val="1"/>
    <w:qFormat/>
    <w:rsid w:val="00990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rsid w:val="00990CED"/>
  </w:style>
  <w:style w:type="character" w:customStyle="1" w:styleId="CommentTextChar">
    <w:name w:val="Comment Text Char"/>
    <w:basedOn w:val="DefaultParagraphFont"/>
    <w:link w:val="CommentText"/>
    <w:rsid w:val="00990CE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CE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2</cp:revision>
  <dcterms:created xsi:type="dcterms:W3CDTF">2018-03-14T14:58:00Z</dcterms:created>
  <dcterms:modified xsi:type="dcterms:W3CDTF">2018-03-15T17:33:00Z</dcterms:modified>
</cp:coreProperties>
</file>